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35"/>
    <w:p>
      <w:pPr>
        <w:pStyle w:val="Heading1"/>
      </w:pPr>
      <w:r>
        <w:t xml:space="preserve">Homiletics Analysis: Psalms 135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135 is a sustained liturgical call to praise, grounded entirely in the character and acts of the LORD. The psalm opens with a summons to the assembled congregation — specifically the priests and Levites serving in the temple courts — to praise the LORD because He is good and His name is pleasant (vv. 1–3). The theological ground for that summons is immediately supplied: the LORD has chosen Israel for His own treasured possession (v. 4). The psalm then moves through three distinct evidences of the LORD’s greatness: His sovereign supremacy over all other gods and over all nature (vv. 5–7), His mighty historical acts in delivering Israel from Egypt and bringing them into the land (vv. 8–12), and His enduring name and compassion toward His people (vv. 13–14). At the center of the psalm stands a sharp polemic against idols — the gods of the nations are mute, blind, deaf, and lifeless, and those who make and trust them become like them (vv. 15–18). The psalm closes with a renewed, expanded summons to bless the LORD, calling all of Israel — the house of Israel, Aaron, Levi, and all who fear the LORD — from Zion where He dwells (vv. 19–21).</w:t>
      </w:r>
    </w:p>
    <w:p>
      <w:pPr>
        <w:pStyle w:val="BodyText"/>
      </w:pPr>
      <w:r>
        <w:rPr>
          <w:b/>
          <w:bCs/>
        </w:rPr>
        <w:t xml:space="preserve">This Text — Intent</w:t>
      </w:r>
    </w:p>
    <w:p>
      <w:pPr>
        <w:pStyle w:val="BodyText"/>
      </w:pPr>
      <w:r>
        <w:t xml:space="preserve">God is seeking to reorient the worshiper’s fundamental orientation — away from the gods of the nations and toward the LORD who alone acts, who alone chooses, who alone speaks, and who alone saves. The psalm is not merely doxological information; it is deliberate displacement. By cataloguing what the LORD has done and then holding those acts up against the utter lifelessness of idols, God is pressing the congregation toward a specific question: whose worshipers are you becoming? The intent is to produce whole-hearted, clear-eyed, exclusive allegiance to the LORD — the kind of allegiance that flows not from bare duty but from beholding what He alone has done and who He alone is.</w:t>
      </w:r>
    </w:p>
    <w:p>
      <w:r>
        <w:pict>
          <v:rect style="width:0;height:1.5pt" o:hralign="center" o:hrstd="t" o:hr="t"/>
        </w:pict>
      </w:r>
    </w:p>
    <w:p>
      <w:pPr>
        <w:pStyle w:val="FirstParagraph"/>
      </w:pPr>
      <w:r>
        <w:rPr>
          <w:b/>
          <w:bCs/>
        </w:rPr>
        <w:t xml:space="preserve">Subject Sentence:</w:t>
      </w:r>
      <w:r>
        <w:t xml:space="preserve"> </w:t>
      </w:r>
      <w:r>
        <w:t xml:space="preserve">The LORD’s sovereign acts and exclusive worthiness demand the glad, undivided praise of His chosen people.</w:t>
      </w:r>
    </w:p>
    <w:p>
      <w:r>
        <w:pict>
          <v:rect style="width:0;height:1.5pt" o:hralign="center" o:hrstd="t" o:hr="t"/>
        </w:pict>
      </w:r>
    </w:p>
    <w:p>
      <w:pPr>
        <w:pStyle w:val="FirstParagraph"/>
      </w:pPr>
      <w:r>
        <w:rPr>
          <w:b/>
          <w:bCs/>
        </w:rPr>
        <w:t xml:space="preserve">Primary Claim:</w:t>
      </w:r>
      <w:r>
        <w:t xml:space="preserve"> </w:t>
      </w:r>
      <w:r>
        <w:t xml:space="preserve">God is calling His people to see the radical difference between the living LORD who acts and the dead idols who cannot — and to worship accordingly, with whole-hearted, exclusive praise rooted in His real and particular deeds.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Polemic Against Idols (vv. 15–18)</w:t>
      </w:r>
    </w:p>
    <w:p>
      <w:pPr>
        <w:pStyle w:val="BodyText"/>
      </w:pPr>
      <w:r>
        <w:t xml:space="preserve">The central exegetical question concerns the function of the idol polemic. Some interpreters treat vv. 15–18 as merely illustrative — a rhetorical flourish reinforcing the LORD’s greatness by contrast. On this reading, the idols section is illustrative but not constitutive; the psalm’s real work is the praise sections that surround it. This reading acknowledges something true — the idol polemic does serve a comparative function — but it underweights the passage’s rhetorical architecture. The idol polemic falls at the structural center of the psalm, flanked by two praise summons and two evidentiary sections. It is not decoration. It is the diagnostic pivot: why must the LORD be praised exclusively? Because the alternatives are not merely inferior — they are non-existent as sources of life and help.</w:t>
      </w:r>
    </w:p>
    <w:p>
      <w:pPr>
        <w:pStyle w:val="BodyText"/>
      </w:pPr>
      <w:r>
        <w:t xml:space="preserve">The strongest Reformed reading of vv. 15–18 follows the trajectory of Psalm 115 (which vv. 15–18 quote almost verbatim): idol-makers become like their idols. This is more than a critique of bad religion. It is an anthropological warning: you become what you worship. Those who fashion mute, blind, deaf objects will themselves become mute (unable to cry for help), blind (unable to see reality), and deaf (unable to hear God’s word). The Reformed reading refuses to soften this into mere anti-paganism; it presses the idol polemic as a diagnosis of the human heart in every age.</w:t>
      </w:r>
    </w:p>
    <w:p>
      <w:pPr>
        <w:pStyle w:val="BodyText"/>
      </w:pPr>
      <w:r>
        <w:rPr>
          <w:b/>
          <w:bCs/>
        </w:rPr>
        <w:t xml:space="preserve">Dispensational Considerations</w:t>
      </w:r>
    </w:p>
    <w:p>
      <w:pPr>
        <w:pStyle w:val="BodyText"/>
      </w:pPr>
      <w:r>
        <w:t xml:space="preserve">A dispensational interpreter might emphasize that the psalm’s summons is addressed specifically to Israel as a national covenant community, with the temple and its priests as the primary referents, and that the New Testament church has a categorically different relationship to Zion and to the land promises embedded in vv. 10–12. This reading is worth acknowledging at the level of original historical audience. However, it qualifies rather than refutes: the psalm’s theological logic — the LORD’s sovereign choice, His acts in history, His exclusive worthiness — transcends the Israelite cultic setting and is directly appropriated in New Testament worship (see Revelation 19). The community of the new covenant inherits the psalter as its worship manual precisely because the God of Israel is the God and Father of our Lord Jesus Christ.</w:t>
      </w:r>
    </w:p>
    <w:p>
      <w:pPr>
        <w:pStyle w:val="BodyText"/>
      </w:pPr>
      <w:r>
        <w:rPr>
          <w:b/>
          <w:bCs/>
        </w:rPr>
        <w:t xml:space="preserve">Charismatic/Experiential Readings</w:t>
      </w:r>
    </w:p>
    <w:p>
      <w:pPr>
        <w:pStyle w:val="BodyText"/>
      </w:pPr>
      <w:r>
        <w:t xml:space="preserve">Some contemporary interpretive traditions emphasize the praise summons as a model for cultivating heightened emotional or corporate worship experiences — the psalm becomes a template for achieving a particular emotional register in gathered worship. This reading acknowledges something real: the psalm is liturgical and communal, and its movement is designed to produce genuine affective engagement. But it qualifies into misreading when the psalm’s theological content — election, sovereign acts, idol-diagnosis — is treated as scaffolding for an emotional destination rather than as the substance of what the worship is</w:t>
      </w:r>
      <w:r>
        <w:t xml:space="preserve"> </w:t>
      </w:r>
      <w:r>
        <w:rPr>
          <w:i/>
          <w:iCs/>
        </w:rPr>
        <w:t xml:space="preserve">about</w:t>
      </w:r>
      <w:r>
        <w:t xml:space="preserve">. The psalm does not summon abstract enthusiasm; it summons specifically-grounded praise for specifically-narrated acts of a specifically-named God.</w:t>
      </w:r>
    </w:p>
    <w:p>
      <w:pPr>
        <w:pStyle w:val="BodyText"/>
      </w:pPr>
      <w:r>
        <w:rPr>
          <w:b/>
          <w:bCs/>
        </w:rPr>
        <w:t xml:space="preserve">Reformed Verdict</w:t>
      </w:r>
    </w:p>
    <w:p>
      <w:pPr>
        <w:pStyle w:val="BodyText"/>
      </w:pPr>
      <w:r>
        <w:t xml:space="preserve">The Reformed reading handles the full structure: the summons is grounded in election (v. 4), filled with historical-redemptive content (vv. 5–12), sharpened by diagnostic contrast with idols (vv. 15–18), and sealed in the name and character of the LORD (vv. 13–14, 21). Worship in this psalm is not an emotional state achieved; it is a response to reality perceived — the reality of what the LORD has actually done, in contrast to what idols have never done and cannot do.</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115:4–8</w:t>
      </w:r>
      <w:r>
        <w:t xml:space="preserve"> </w:t>
      </w:r>
      <w:r>
        <w:t xml:space="preserve">— The idol polemic in Psalm 135:15–18 is quoted nearly verbatim from Psalm 115, establishing this as a sustained canonical motif: lifeless objects produce lifeless worshipers; the living God produces the living praise of a living people.</w:t>
      </w:r>
    </w:p>
    <w:p>
      <w:pPr>
        <w:numPr>
          <w:ilvl w:val="0"/>
          <w:numId w:val="1001"/>
        </w:numPr>
      </w:pPr>
      <w:r>
        <w:rPr>
          <w:b/>
          <w:bCs/>
        </w:rPr>
        <w:t xml:space="preserve">Deuteronomy 7:6–8</w:t>
      </w:r>
      <w:r>
        <w:t xml:space="preserve"> </w:t>
      </w:r>
      <w:r>
        <w:t xml:space="preserve">— The LORD’s choice of Israel as His treasured possession (Psalm 135:4) is grounded in sovereign love, not Israel’s merit. This passage provides the theological backstory for the election language in the psalm and guards against any meritocratic reading of Israel’s chosenness.</w:t>
      </w:r>
    </w:p>
    <w:p>
      <w:pPr>
        <w:numPr>
          <w:ilvl w:val="0"/>
          <w:numId w:val="1001"/>
        </w:numPr>
      </w:pPr>
      <w:r>
        <w:rPr>
          <w:b/>
          <w:bCs/>
        </w:rPr>
        <w:t xml:space="preserve">Exodus 7–14</w:t>
      </w:r>
      <w:r>
        <w:t xml:space="preserve"> </w:t>
      </w:r>
      <w:r>
        <w:t xml:space="preserve">— The plagues against Egypt and the deliverance of Israel (Psalm 135:8–9) find their source narrative here. The psalm is not abstractly praising God’s power; it is rehearsing a specific sequence of historical events that every Israelite was meant to know and retell.</w:t>
      </w:r>
    </w:p>
    <w:p>
      <w:pPr>
        <w:numPr>
          <w:ilvl w:val="0"/>
          <w:numId w:val="1001"/>
        </w:numPr>
      </w:pPr>
      <w:r>
        <w:rPr>
          <w:b/>
          <w:bCs/>
        </w:rPr>
        <w:t xml:space="preserve">Isaiah 44:9–20</w:t>
      </w:r>
      <w:r>
        <w:t xml:space="preserve"> </w:t>
      </w:r>
      <w:r>
        <w:t xml:space="preserve">— The extended Isaian polemic against idol-making provides the prophetic development of the same diagnostic theme: those who worship what their own hands have made are feeding on ashes, unable to perceive or be delivered (Isaiah 44:20). The Psalm and Isaiah together press idol-diagnosis as a fundamental diagnostic category for covenant unfaithfulness.</w:t>
      </w:r>
    </w:p>
    <w:p>
      <w:pPr>
        <w:numPr>
          <w:ilvl w:val="0"/>
          <w:numId w:val="1001"/>
        </w:numPr>
      </w:pPr>
      <w:r>
        <w:rPr>
          <w:b/>
          <w:bCs/>
        </w:rPr>
        <w:t xml:space="preserve">Revelation 19:1–8</w:t>
      </w:r>
      <w:r>
        <w:t xml:space="preserve"> </w:t>
      </w:r>
      <w:r>
        <w:t xml:space="preserve">— The New Testament’s great praise chorus (</w:t>
      </w:r>
      <w:r>
        <w:t xml:space="preserve">“Hallelujah! Salvation and glory and power belong to our God”</w:t>
      </w:r>
      <w:r>
        <w:t xml:space="preserve">) stands in direct typological continuity with Psalm 135’s summons. The eschatological assembly praises the same God for the same categories of acts — judgment, salvation, the consummation of the covenant — confirming that the psalm’s logic is not bounded by the Israelite cult but finds its fullest expression in the glorified church.</w:t>
      </w:r>
    </w:p>
    <w:p>
      <w:r>
        <w:pict>
          <v:rect style="width:0;height:1.5pt" o:hralign="center" o:hrstd="t" o:hr="t"/>
        </w:pict>
      </w:r>
    </w:p>
    <w:p>
      <w:pPr>
        <w:pStyle w:val="FirstParagraph"/>
      </w:pPr>
      <w:r>
        <w:rPr>
          <w:b/>
          <w:bCs/>
        </w:rPr>
        <w:t xml:space="preserve">Aim:</w:t>
      </w:r>
      <w:r>
        <w:t xml:space="preserve"> </w:t>
      </w:r>
      <w:r>
        <w:t xml:space="preserve">To demonstrate that whole-hearted, exclusive praise of the LORD is not merely a liturgical duty but the only rational and fitting response to what He alone has done — and to expose the diagnostic danger of any worship directed toward that which cannot act, choose, or save.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Opening summons to praise: servants of the LORD, those who stand in the temple courts, are called to praise the name of the LORD because He is good and His name is pleasant.</w:t>
            </w:r>
          </w:p>
        </w:tc>
        <w:tc>
          <w:tcPr/>
          <w:p>
            <w:pPr>
              <w:pStyle w:val="Compact"/>
            </w:pPr>
            <w:r>
              <w:t xml:space="preserve">Triple imperative: Praise the LORD / praise the name / praise Him. The summons is addressed to the liturgical assembly, particularly priests and Levites (</w:t>
            </w:r>
            <w:r>
              <w:t xml:space="preserve">“you servants,”</w:t>
            </w:r>
            <w:r>
              <w:t xml:space="preserve"> </w:t>
            </w:r>
            <w:r>
              <w:t xml:space="preserve">“you who stand in the house”</w:t>
            </w:r>
            <w:r>
              <w:t xml:space="preserve">).</w:t>
            </w:r>
          </w:p>
        </w:tc>
      </w:tr>
      <w:tr>
        <w:tc>
          <w:tcPr/>
          <w:p>
            <w:pPr>
              <w:pStyle w:val="Compact"/>
            </w:pPr>
            <w:r>
              <w:t xml:space="preserve">4</w:t>
            </w:r>
          </w:p>
        </w:tc>
        <w:tc>
          <w:tcPr/>
          <w:p>
            <w:pPr>
              <w:pStyle w:val="Compact"/>
            </w:pPr>
            <w:r>
              <w:t xml:space="preserve">Theological grounding of the summons: the LORD has chosen Jacob/Israel for His own treasured possession.</w:t>
            </w:r>
          </w:p>
        </w:tc>
        <w:tc>
          <w:tcPr/>
          <w:p>
            <w:pPr>
              <w:pStyle w:val="Compact"/>
            </w:pPr>
            <w:r>
              <w:rPr>
                <w:i/>
                <w:iCs/>
              </w:rPr>
              <w:t xml:space="preserve">Segullah</w:t>
            </w:r>
            <w:r>
              <w:t xml:space="preserve"> </w:t>
            </w:r>
            <w:r>
              <w:t xml:space="preserve">(</w:t>
            </w:r>
            <w:r>
              <w:t xml:space="preserve">“treasured possession”</w:t>
            </w:r>
            <w:r>
              <w:t xml:space="preserve">) — same term used in Exodus 19:5 and Deuteronomy 7:6. Election is the first ground of praise.</w:t>
            </w:r>
          </w:p>
        </w:tc>
      </w:tr>
      <w:tr>
        <w:tc>
          <w:tcPr/>
          <w:p>
            <w:pPr>
              <w:pStyle w:val="Compact"/>
            </w:pPr>
            <w:r>
              <w:t xml:space="preserve">5–7</w:t>
            </w:r>
          </w:p>
        </w:tc>
        <w:tc>
          <w:tcPr/>
          <w:p>
            <w:pPr>
              <w:pStyle w:val="Compact"/>
            </w:pPr>
            <w:r>
              <w:t xml:space="preserve">First evidence of the LORD’s greatness: He is greater than all gods; He does whatever He pleases in heaven, earth, seas, and depths. Specific example: He causes clouds, lightning, and wind.</w:t>
            </w:r>
          </w:p>
        </w:tc>
        <w:tc>
          <w:tcPr/>
          <w:p>
            <w:pPr>
              <w:pStyle w:val="Compact"/>
            </w:pPr>
            <w:r>
              <w:t xml:space="preserve">Sovereign over all creation and over all other divine pretenders. The rhetorical force:</w:t>
            </w:r>
            <w:r>
              <w:t xml:space="preserve"> </w:t>
            </w:r>
            <w:r>
              <w:t xml:space="preserve">“I know”</w:t>
            </w:r>
            <w:r>
              <w:t xml:space="preserve"> </w:t>
            </w:r>
            <w:r>
              <w:t xml:space="preserve">(v. 5) — the psalmist testifies from conviction, not merely tradition.</w:t>
            </w:r>
          </w:p>
        </w:tc>
      </w:tr>
      <w:tr>
        <w:tc>
          <w:tcPr/>
          <w:p>
            <w:pPr>
              <w:pStyle w:val="Compact"/>
            </w:pPr>
            <w:r>
              <w:t xml:space="preserve">8–9</w:t>
            </w:r>
          </w:p>
        </w:tc>
        <w:tc>
          <w:tcPr/>
          <w:p>
            <w:pPr>
              <w:pStyle w:val="Compact"/>
            </w:pPr>
            <w:r>
              <w:t xml:space="preserve">Second evidence: the LORD struck Egypt, its firstborn and its people and animals, with signs and wonders.</w:t>
            </w:r>
          </w:p>
        </w:tc>
        <w:tc>
          <w:tcPr/>
          <w:p>
            <w:pPr>
              <w:pStyle w:val="Compact"/>
            </w:pPr>
            <w:r>
              <w:t xml:space="preserve">Historical-redemptive content begins. The Exodus plagues are the paradigmatic act of the LORD’s power on behalf of His people.</w:t>
            </w:r>
          </w:p>
        </w:tc>
      </w:tr>
      <w:tr>
        <w:tc>
          <w:tcPr/>
          <w:p>
            <w:pPr>
              <w:pStyle w:val="Compact"/>
            </w:pPr>
            <w:r>
              <w:t xml:space="preserve">10–12</w:t>
            </w:r>
          </w:p>
        </w:tc>
        <w:tc>
          <w:tcPr/>
          <w:p>
            <w:pPr>
              <w:pStyle w:val="Compact"/>
            </w:pPr>
            <w:r>
              <w:t xml:space="preserve">Third evidence: the LORD struck many nations and killed mighty kings (Sihon, Og, and the kings of Canaan) and gave their land as a heritage to Israel.</w:t>
            </w:r>
          </w:p>
        </w:tc>
        <w:tc>
          <w:tcPr/>
          <w:p>
            <w:pPr>
              <w:pStyle w:val="Compact"/>
            </w:pPr>
            <w:r>
              <w:t xml:space="preserve">The conquest as covenant fulfillment. The inheritance of the land is the culmination of the LORD’s historical acts of deliverance.</w:t>
            </w:r>
          </w:p>
        </w:tc>
      </w:tr>
      <w:tr>
        <w:tc>
          <w:tcPr/>
          <w:p>
            <w:pPr>
              <w:pStyle w:val="Compact"/>
            </w:pPr>
            <w:r>
              <w:t xml:space="preserve">13–14</w:t>
            </w:r>
          </w:p>
        </w:tc>
        <w:tc>
          <w:tcPr/>
          <w:p>
            <w:pPr>
              <w:pStyle w:val="Compact"/>
            </w:pPr>
            <w:r>
              <w:t xml:space="preserve">The LORD’s name endures forever; His renown lasts through all generations. The LORD will vindicate His people and have compassion on His servants.</w:t>
            </w:r>
          </w:p>
        </w:tc>
        <w:tc>
          <w:tcPr/>
          <w:p>
            <w:pPr>
              <w:pStyle w:val="Compact"/>
            </w:pPr>
            <w:r>
              <w:t xml:space="preserve">Pivot from historical acts to enduring character. The LORD’s name (identity) and His compassion are permanent, not episodic.</w:t>
            </w:r>
          </w:p>
        </w:tc>
      </w:tr>
      <w:tr>
        <w:tc>
          <w:tcPr/>
          <w:p>
            <w:pPr>
              <w:pStyle w:val="Compact"/>
            </w:pPr>
            <w:r>
              <w:t xml:space="preserve">15–18</w:t>
            </w:r>
          </w:p>
        </w:tc>
        <w:tc>
          <w:tcPr/>
          <w:p>
            <w:pPr>
              <w:pStyle w:val="Compact"/>
            </w:pPr>
            <w:r>
              <w:t xml:space="preserve">The idols of the nations are silver and gold — made by human hands. They have mouths but cannot speak, eyes but cannot see, ears but cannot hear, and there is no breath in them. Those who make them become like them, as do all who trust in them.</w:t>
            </w:r>
          </w:p>
        </w:tc>
        <w:tc>
          <w:tcPr/>
          <w:p>
            <w:pPr>
              <w:pStyle w:val="Compact"/>
            </w:pPr>
            <w:r>
              <w:t xml:space="preserve">Structural center of the psalm. Quoted nearly verbatim from Psalm 115:4–8. The polemic moves from physical description to anthropological warning: worshipers are formed by what they worship.</w:t>
            </w:r>
          </w:p>
        </w:tc>
      </w:tr>
      <w:tr>
        <w:tc>
          <w:tcPr/>
          <w:p>
            <w:pPr>
              <w:pStyle w:val="Compact"/>
            </w:pPr>
            <w:r>
              <w:t xml:space="preserve">19–20</w:t>
            </w:r>
          </w:p>
        </w:tc>
        <w:tc>
          <w:tcPr/>
          <w:p>
            <w:pPr>
              <w:pStyle w:val="Compact"/>
            </w:pPr>
            <w:r>
              <w:t xml:space="preserve">Renewed summons to bless the LORD: house of Israel, house of Aaron, house of Levi, those who fear the LORD — all are called to bless Him.</w:t>
            </w:r>
          </w:p>
        </w:tc>
        <w:tc>
          <w:tcPr/>
          <w:p>
            <w:pPr>
              <w:pStyle w:val="Compact"/>
            </w:pPr>
            <w:r>
              <w:t xml:space="preserve">The expanded summons encompasses the full covenant community — priests (Aaron), Levites, lay Israel, and proselytes/God-fearers.</w:t>
            </w:r>
          </w:p>
        </w:tc>
      </w:tr>
      <w:tr>
        <w:tc>
          <w:tcPr/>
          <w:p>
            <w:pPr>
              <w:pStyle w:val="Compact"/>
            </w:pPr>
            <w:r>
              <w:t xml:space="preserve">21</w:t>
            </w:r>
          </w:p>
        </w:tc>
        <w:tc>
          <w:tcPr/>
          <w:p>
            <w:pPr>
              <w:pStyle w:val="Compact"/>
            </w:pPr>
            <w:r>
              <w:t xml:space="preserve">Closing doxology: blessed be the LORD from Zion, who dwells in Jerusalem. Praise the LORD.</w:t>
            </w:r>
          </w:p>
        </w:tc>
        <w:tc>
          <w:tcPr/>
          <w:p>
            <w:pPr>
              <w:pStyle w:val="Compact"/>
            </w:pPr>
            <w:r>
              <w:t xml:space="preserve">The LORD who acts universally dwells particularly — in Zion, in Jerusalem. The psalm ends where it began: with the praise of the Name.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Summons: Praise the Name of the LORD</w:t>
            </w:r>
          </w:p>
        </w:tc>
      </w:tr>
      <w:tr>
        <w:tc>
          <w:tcPr/>
          <w:p>
            <w:pPr>
              <w:pStyle w:val="Compact"/>
            </w:pPr>
            <w:r>
              <w:t xml:space="preserve">2</w:t>
            </w:r>
          </w:p>
        </w:tc>
        <w:tc>
          <w:tcPr/>
          <w:p>
            <w:pPr>
              <w:pStyle w:val="Compact"/>
            </w:pPr>
            <w:r>
              <w:t xml:space="preserve">4</w:t>
            </w:r>
          </w:p>
        </w:tc>
        <w:tc>
          <w:tcPr/>
          <w:p>
            <w:pPr>
              <w:pStyle w:val="Compact"/>
            </w:pPr>
            <w:r>
              <w:t xml:space="preserve">The Ground: The LORD Has Chosen His People</w:t>
            </w:r>
          </w:p>
        </w:tc>
      </w:tr>
      <w:tr>
        <w:tc>
          <w:tcPr/>
          <w:p>
            <w:pPr>
              <w:pStyle w:val="Compact"/>
            </w:pPr>
            <w:r>
              <w:t xml:space="preserve">3</w:t>
            </w:r>
          </w:p>
        </w:tc>
        <w:tc>
          <w:tcPr/>
          <w:p>
            <w:pPr>
              <w:pStyle w:val="Compact"/>
            </w:pPr>
            <w:r>
              <w:t xml:space="preserve">5–12</w:t>
            </w:r>
          </w:p>
        </w:tc>
        <w:tc>
          <w:tcPr/>
          <w:p>
            <w:pPr>
              <w:pStyle w:val="Compact"/>
            </w:pPr>
            <w:r>
              <w:t xml:space="preserve">The Evidence: What the LORD Has Done</w:t>
            </w:r>
          </w:p>
        </w:tc>
      </w:tr>
      <w:tr>
        <w:tc>
          <w:tcPr/>
          <w:p>
            <w:pPr>
              <w:pStyle w:val="Compact"/>
            </w:pPr>
            <w:r>
              <w:t xml:space="preserve">4</w:t>
            </w:r>
          </w:p>
        </w:tc>
        <w:tc>
          <w:tcPr/>
          <w:p>
            <w:pPr>
              <w:pStyle w:val="Compact"/>
            </w:pPr>
            <w:r>
              <w:t xml:space="preserve">13–14</w:t>
            </w:r>
          </w:p>
        </w:tc>
        <w:tc>
          <w:tcPr/>
          <w:p>
            <w:pPr>
              <w:pStyle w:val="Compact"/>
            </w:pPr>
            <w:r>
              <w:t xml:space="preserve">The Permanence: The LORD’s Name and Compassion Endure</w:t>
            </w:r>
          </w:p>
        </w:tc>
      </w:tr>
      <w:tr>
        <w:tc>
          <w:tcPr/>
          <w:p>
            <w:pPr>
              <w:pStyle w:val="Compact"/>
            </w:pPr>
            <w:r>
              <w:t xml:space="preserve">5</w:t>
            </w:r>
          </w:p>
        </w:tc>
        <w:tc>
          <w:tcPr/>
          <w:p>
            <w:pPr>
              <w:pStyle w:val="Compact"/>
            </w:pPr>
            <w:r>
              <w:t xml:space="preserve">15–18</w:t>
            </w:r>
          </w:p>
        </w:tc>
        <w:tc>
          <w:tcPr/>
          <w:p>
            <w:pPr>
              <w:pStyle w:val="Compact"/>
            </w:pPr>
            <w:r>
              <w:t xml:space="preserve">The Contrast: Idols Cannot Act — and Their Worshipers Become Like Them</w:t>
            </w:r>
          </w:p>
        </w:tc>
      </w:tr>
      <w:tr>
        <w:tc>
          <w:tcPr/>
          <w:p>
            <w:pPr>
              <w:pStyle w:val="Compact"/>
            </w:pPr>
            <w:r>
              <w:t xml:space="preserve">6</w:t>
            </w:r>
          </w:p>
        </w:tc>
        <w:tc>
          <w:tcPr/>
          <w:p>
            <w:pPr>
              <w:pStyle w:val="Compact"/>
            </w:pPr>
            <w:r>
              <w:t xml:space="preserve">19–21</w:t>
            </w:r>
          </w:p>
        </w:tc>
        <w:tc>
          <w:tcPr/>
          <w:p>
            <w:pPr>
              <w:pStyle w:val="Compact"/>
            </w:pPr>
            <w:r>
              <w:t xml:space="preserve">The Full Assembly: All Israel Called to Bless the LORD from Zion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sovereign acts and exclusive worthiness demand the glad, undivided praise of His chosen people.</w:t>
      </w:r>
    </w:p>
    <w:p>
      <w:pPr>
        <w:pStyle w:val="BodyText"/>
      </w:pPr>
      <w:r>
        <w:rPr>
          <w:b/>
          <w:bCs/>
        </w:rPr>
        <w:t xml:space="preserve">Primary Claim:</w:t>
      </w:r>
      <w:r>
        <w:t xml:space="preserve"> </w:t>
      </w:r>
      <w:r>
        <w:t xml:space="preserve">God is calling His people to see the radical difference between the living LORD who acts and the dead idols who cannot — and to worship accordingly, with whole-hearted, exclusive praise rooted in His real and particular deeds.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Anchor your praise in what God has actually done, not in what you wish He would do.</w:t>
      </w:r>
      <w:r>
        <w:t xml:space="preserve"> </w:t>
      </w:r>
      <w:r>
        <w:t xml:space="preserve">The psalm does not summon vague religious enthusiasm — it summons praise for specific acts: the election of Israel, the plagues against Egypt, the defeat of Sihon and Og, the gift of the land. The congregation is called to rehearse history, not to generate feeling. For the Christian, this means anchoring worship in the specific acts of God in Christ — the incarnation, the cross, the resurrection, the gift of the Spirit — not in an emotional posture disconnected from events. When praise becomes untethered from what God has actually done, it becomes susceptible to the same emptiness the psalm diagnoses in idols: there is no breath in it.</w:t>
      </w:r>
      <w:r>
        <w:t xml:space="preserve"> </w:t>
      </w:r>
      <w:r>
        <w:rPr>
          <w:i/>
          <w:iCs/>
        </w:rPr>
        <w:t xml:space="preserve">(Mind/belief)</w:t>
      </w:r>
    </w:p>
    <w:p>
      <w:pPr>
        <w:pStyle w:val="BodyText"/>
      </w:pPr>
      <w:r>
        <w:rPr>
          <w:b/>
          <w:bCs/>
        </w:rPr>
        <w:t xml:space="preserve">2. Submit your view of competing allegiances to the diagnostic question of vv. 15–18: what are you becoming?</w:t>
      </w:r>
      <w:r>
        <w:t xml:space="preserve"> </w:t>
      </w:r>
      <w:r>
        <w:t xml:space="preserve">The psalm’s idol polemic is not primarily about ancient religious practice — it is about the anthropological mechanism of worship: you are shaped by what you worship. Whatever occupies the functional position of the LORD in your life — security, reputation, financial stability, relational approval — is shaping you toward its own character. Mute idols produce mute worshipers who cannot cry to God in genuine dependence. Blind idols produce blind worshipers who cannot perceive spiritual reality. The application is not abstract: identify what receives your most consistent attention, deepest trust, and greatest fear of loss. That is what you are becoming like.</w:t>
      </w:r>
      <w:r>
        <w:t xml:space="preserve"> </w:t>
      </w:r>
      <w:r>
        <w:rPr>
          <w:i/>
          <w:iCs/>
        </w:rPr>
        <w:t xml:space="preserve">(Affections/worship)</w:t>
      </w:r>
    </w:p>
    <w:p>
      <w:pPr>
        <w:pStyle w:val="BodyText"/>
      </w:pPr>
      <w:r>
        <w:rPr>
          <w:b/>
          <w:bCs/>
        </w:rPr>
        <w:t xml:space="preserve">3. Let the LORD’s election of you — not your performance for Him — be the primary ground of your praise.</w:t>
      </w:r>
      <w:r>
        <w:t xml:space="preserve"> </w:t>
      </w:r>
      <w:r>
        <w:t xml:space="preserve">Verse 4 grounds the entire summons in the LORD’s sovereign choice:</w:t>
      </w:r>
      <w:r>
        <w:t xml:space="preserve"> </w:t>
      </w:r>
      <w:r>
        <w:t xml:space="preserve">“the LORD has chosen Jacob for himself.”</w:t>
      </w:r>
      <w:r>
        <w:t xml:space="preserve"> </w:t>
      </w:r>
      <w:r>
        <w:t xml:space="preserve">Israel is not called to praise God because they earned His favor but because He gave it unconditionally. The Christian stands on even clearer election-ground — chosen in Christ before the foundation of the world (Ephesians 1:4). The practical implication: your worship on a Sunday morning when you have failed badly all week does not rest on your spiritual performance that week. It rests on a choice God made before time, confirmed in the blood of His Son, and sealed by His Spirit. Come and praise Him on that ground.</w:t>
      </w:r>
      <w:r>
        <w:t xml:space="preserve"> </w:t>
      </w:r>
      <w:r>
        <w:rPr>
          <w:i/>
          <w:iCs/>
        </w:rPr>
        <w:t xml:space="preserve">(Mind/belief)</w:t>
      </w:r>
    </w:p>
    <w:p>
      <w:pPr>
        <w:pStyle w:val="BodyText"/>
      </w:pPr>
      <w:r>
        <w:rPr>
          <w:b/>
          <w:bCs/>
        </w:rPr>
        <w:t xml:space="preserve">4. Cultivate a genuine, affective delight in the LORD’s name — not mere compliance with the call to worship.</w:t>
      </w:r>
      <w:r>
        <w:t xml:space="preserve"> </w:t>
      </w:r>
      <w:r>
        <w:t xml:space="preserve">Verses 1–3 do not merely issue a command; they supply a reason:</w:t>
      </w:r>
      <w:r>
        <w:t xml:space="preserve"> </w:t>
      </w:r>
      <w:r>
        <w:t xml:space="preserve">“for the LORD is good; sing to his name, for it is pleasant.”</w:t>
      </w:r>
      <w:r>
        <w:t xml:space="preserve"> </w:t>
      </w:r>
      <w:r>
        <w:t xml:space="preserve">The word translated</w:t>
      </w:r>
      <w:r>
        <w:t xml:space="preserve"> </w:t>
      </w:r>
      <w:r>
        <w:t xml:space="preserve">“pleasant”</w:t>
      </w:r>
      <w:r>
        <w:t xml:space="preserve"> </w:t>
      </w:r>
      <w:r>
        <w:t xml:space="preserve">(</w:t>
      </w:r>
      <w:r>
        <w:rPr>
          <w:i/>
          <w:iCs/>
        </w:rPr>
        <w:t xml:space="preserve">nāʿîm</w:t>
      </w:r>
      <w:r>
        <w:t xml:space="preserve">) carries connotations of loveliness and delight. The psalmist is not calling for duty-worship but for the kind of praise that flows from genuinely finding the LORD’s name attractive and desirable. For many believers, worship has become a compliance exercise rather than an overflow of delight. The remedy is not to manufacture feeling but to return to the specific content of the psalm — to meditate on what the LORD has done, who He is, how He has acted — until the affections are genuinely kindled by reality rather than performance.</w:t>
      </w:r>
      <w:r>
        <w:t xml:space="preserve"> </w:t>
      </w:r>
      <w:r>
        <w:rPr>
          <w:i/>
          <w:iCs/>
        </w:rPr>
        <w:t xml:space="preserve">(Affections/worship)</w:t>
      </w:r>
    </w:p>
    <w:p>
      <w:pPr>
        <w:pStyle w:val="BodyText"/>
      </w:pPr>
      <w:r>
        <w:rPr>
          <w:b/>
          <w:bCs/>
        </w:rPr>
        <w:t xml:space="preserve">5. When you gather with the people of God for corporate worship, understand that you are standing in a line that runs from the temple courts of Jerusalem to the throne room of Revelation 19.</w:t>
      </w:r>
      <w:r>
        <w:t xml:space="preserve"> </w:t>
      </w:r>
      <w:r>
        <w:t xml:space="preserve">The summons of vv. 19–21 encompasses the full covenant community — priests, Levites, lay Israel, and all who fear the LORD. The New Testament church inherits this assembly. When you take your place in corporate worship, you are not merely attending a Sunday service — you are joining a chorus that has been singing the same song across millennia, and you are anticipating the final, perfected gathering of vv. 19–21 when every redeemed voice from every age and nation blesses the LORD from Zion. Corporate worship is not a preliminary act; it is the proleptic practice of eternity. Show up for it with that weight.</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135 establishes that the LORD alone is genuinely great because He alone genuinely acts. His greatness is not an abstract attribute but a demonstrated reality — enacted in election, displayed in the control of weather and sea, confirmed in the historical judgment of Egypt and the Canaanite kings, and rooted in a character (His name) that endures across generations. Against this stands the radical impotence of idols, which are the products of human hands and possess none of the capacities that make God God: speech, sight, hearing, breath. The psalm is therefore teaching something profound about the nature of divinity itself — to be God is to act, to speak, to choose, to save. The LORD meets every criterion; idols meet none. This passage grounds what will later be systematized as the doctrine of divine aseity (God’s self-existence and self-sufficiency) in the concrete soil of Israel’s historical experience of a God who actually does things.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135 is a foundational text for the Reformed doctrine of election understood as the ground of worship rather than merely a doctrinal category. The sovereign choice of Israel (v. 4) is not treated as a problem to be explained or an embarrassment to be qualified — it is the first and primary reason for praise. This reflects the distinctly Reformed instinct that God’s unconditional, particular choice of His people is not an obstacle to heartfelt worship but its deepest fuel: we love because He first loved us, and we praise because He first chose us. Additionally, the psalm’s idol polemic provides canonical support for the Reformed anthropological insight — developed through Calvin’s</w:t>
      </w:r>
      <w:r>
        <w:t xml:space="preserve"> </w:t>
      </w:r>
      <w:r>
        <w:rPr>
          <w:i/>
          <w:iCs/>
        </w:rPr>
        <w:t xml:space="preserve">sensus divinitatis</w:t>
      </w:r>
      <w:r>
        <w:t xml:space="preserve"> </w:t>
      </w:r>
      <w:r>
        <w:t xml:space="preserve">and Keller’s idol-diagnosis framework — that the human heart is an idol factory, and that the worship of substitute gods is not merely a moral failure but a spiritual self-destruction: worshipers are conformed to the image of what they worship. The gospel answers this not merely by commanding the abandonment of idols but by presenting a living, acting, speaking, saving God whose image, when beheld, transforms worshipers into His likeness (2 Corinthians 3:18).</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you have been called to worship is not an idea, not a force, not a projection — He is the God who actually chose you, actually struck Egypt, actually drove out the nations, and actually raised His Son from the dead. The alternatives — whatever your hands have fashioned and your heart has trusted in place of Him — are silent, blind, and dead. And if you keep trusting them, you will become like them: mute before God, blind to reality, deaf to His word. Praise the LORD who acts. Praise the LORD who chose you. Praise Him because He is alive and everything else is not.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idol polemic to an ancient-religion problem.</w:t>
      </w:r>
      <w:r>
        <w:t xml:space="preserve"> </w:t>
      </w:r>
      <w:r>
        <w:t xml:space="preserve">The most common mishandling of vv. 15–18 is treating the idol critique as a historical footnote — a critique of Canaanite or Babylonian religion that no longer applies because no one literally bows to silver and gold statues. This loses the text’s primary force. The psalm does not say that idol-worshipers are primitive or uneducated; it says they become like their idols — mute, blind, deaf. The preacher must make the diagnostic transfer explicit: what contemporary objects of trust and functional saviors occupy the idols’ position in a modern congregation? The critique is anthropological and universal, not archaeological.</w:t>
      </w:r>
    </w:p>
    <w:p>
      <w:pPr>
        <w:numPr>
          <w:ilvl w:val="0"/>
          <w:numId w:val="1002"/>
        </w:numPr>
      </w:pPr>
      <w:r>
        <w:rPr>
          <w:b/>
          <w:bCs/>
        </w:rPr>
        <w:t xml:space="preserve">Preaching the praise summons without the theological content that grounds it.</w:t>
      </w:r>
      <w:r>
        <w:t xml:space="preserve"> </w:t>
      </w:r>
      <w:r>
        <w:t xml:space="preserve">The opening imperatives (vv. 1–3) can generate a kind of enthusiasm-preaching that calls for more fervent worship without attending to the specific content that the psalm itself provides as the ground for that worship. The psalm does not say</w:t>
      </w:r>
      <w:r>
        <w:t xml:space="preserve"> </w:t>
      </w:r>
      <w:r>
        <w:t xml:space="preserve">“praise Him and you’ll feel better.”</w:t>
      </w:r>
      <w:r>
        <w:t xml:space="preserve"> </w:t>
      </w:r>
      <w:r>
        <w:t xml:space="preserve">It says</w:t>
      </w:r>
      <w:r>
        <w:t xml:space="preserve"> </w:t>
      </w:r>
      <w:r>
        <w:t xml:space="preserve">“praise Him because He did these specific things.”</w:t>
      </w:r>
      <w:r>
        <w:t xml:space="preserve"> </w:t>
      </w:r>
      <w:r>
        <w:t xml:space="preserve">The preacher who separates the summons from the substantiation has cut the psalm in half and turned it into a motivational exercise rather than a theological argument.</w:t>
      </w:r>
    </w:p>
    <w:p>
      <w:pPr>
        <w:numPr>
          <w:ilvl w:val="0"/>
          <w:numId w:val="1002"/>
        </w:numPr>
      </w:pPr>
      <w:r>
        <w:rPr>
          <w:b/>
          <w:bCs/>
        </w:rPr>
        <w:t xml:space="preserve">Missing the structural centrality of the idol polemic.</w:t>
      </w:r>
      <w:r>
        <w:t xml:space="preserve"> </w:t>
      </w:r>
      <w:r>
        <w:t xml:space="preserve">Because vv. 15–18 look like an interruption in a praise psalm — a polemical section embedded in doxology — preachers may treat it as a subordinate digression. Structural analysis reveals it is the psalm’s pivot. Everything before it establishes why the LORD is praiseworthy; the idol polemic establishes why exclusive praise is the only rational option; everything after it restates the summons with the contrast now in place. Preachers who skip or minimize vv. 15–18 will not land the passage’s full argument.</w:t>
      </w:r>
    </w:p>
    <w:p>
      <w:pPr>
        <w:numPr>
          <w:ilvl w:val="0"/>
          <w:numId w:val="1002"/>
        </w:numPr>
      </w:pPr>
      <w:r>
        <w:rPr>
          <w:b/>
          <w:bCs/>
        </w:rPr>
        <w:t xml:space="preserve">Failing to connect the historical-redemptive content (vv. 8–12) to Christ.</w:t>
      </w:r>
      <w:r>
        <w:t xml:space="preserve"> </w:t>
      </w:r>
      <w:r>
        <w:t xml:space="preserve">The plagues against Egypt and the conquest of Canaan are not cited merely as historical triumphs — they are the paradigmatic acts of the LORD who saves His people by defeating their enemies. The New Testament identifies Jesus Christ as the one in whom these acts reach their definitive fulfillment: the decisive defeat of sin, death, and the power of the enemy; the gathering of the true Israel from all nations; the inheritance of the new creation. Preaching that recounts these historical acts without tracing them to their christological fulfillment leaves the congregation standing in the Old Testament rather than where the New Testament locates them.</w:t>
      </w:r>
    </w:p>
    <w:p>
      <w:pPr>
        <w:numPr>
          <w:ilvl w:val="0"/>
          <w:numId w:val="1002"/>
        </w:numPr>
      </w:pPr>
      <w:r>
        <w:rPr>
          <w:b/>
          <w:bCs/>
        </w:rPr>
        <w:t xml:space="preserve">Treating election (v. 4) as a controversy to navigate rather than a ground for praise.</w:t>
      </w:r>
      <w:r>
        <w:t xml:space="preserve"> </w:t>
      </w:r>
      <w:r>
        <w:t xml:space="preserve">Verse 4’s language of election is sometimes treated apologetically — the preacher hedges, explains, qualifies, and moves on quickly to avoid controversy. But the psalm treats election as the foundational reason for praise. A congregation that cannot praise God for His sovereign, unconditional choice of them has been theologically impoverished. The preacher should let the verse land with its full weight and pastoral warmth: you are His</w:t>
      </w:r>
      <w:r>
        <w:t xml:space="preserve"> </w:t>
      </w:r>
      <w:r>
        <w:rPr>
          <w:i/>
          <w:iCs/>
        </w:rPr>
        <w:t xml:space="preserve">segullah</w:t>
      </w:r>
      <w:r>
        <w:t xml:space="preserve"> </w:t>
      </w:r>
      <w:r>
        <w:t xml:space="preserve">— His treasured possession — not because of anything in you but because He chose you. That is the ground you stand on.</w:t>
      </w:r>
    </w:p>
    <w:p>
      <w:pPr>
        <w:numPr>
          <w:ilvl w:val="0"/>
          <w:numId w:val="1002"/>
        </w:numPr>
      </w:pPr>
      <w:r>
        <w:rPr>
          <w:b/>
          <w:bCs/>
        </w:rPr>
        <w:t xml:space="preserve">Preaching corporate worship as merely habitual or obligatory.</w:t>
      </w:r>
      <w:r>
        <w:t xml:space="preserve"> </w:t>
      </w:r>
      <w:r>
        <w:t xml:space="preserve">The expanded summons of vv. 19–21 — encompassing priests, Levites, all Israel, and all who fear the LORD — is sometimes read as merely a liturgical formula closing the psalm. Its full weight is the picture of the whole covenant community assembled to bless the LORD who dwells in Zion. For the New Testament preacher, this is the picture of the church’s corporate gathering as a foretaste of the eschatological assembly. Preaching that reduces Sunday worship to a habit, a social gathering, or a spiritual discipline misses the psalm’s vision: this is what the redeemed people of the living God do when they come together — they rehearse His acts, expose the alternatives as lifeless, and bless His name.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2026-07-14T21:04:27Z</dcterms:created>
  <dcterms:modified xsi:type="dcterms:W3CDTF">2026-07-14T21:04:27Z</dcterms:modified>
</cp:coreProperties>
</file>

<file path=docProps/custom.xml><?xml version="1.0" encoding="utf-8"?>
<Properties xmlns="http://schemas.openxmlformats.org/officeDocument/2006/custom-properties" xmlns:vt="http://schemas.openxmlformats.org/officeDocument/2006/docPropsVTypes"/>
</file>